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3546" w14:textId="2A809C9E" w:rsidR="002354BE" w:rsidRDefault="002354BE" w:rsidP="003613A0">
      <w:pPr>
        <w:shd w:val="clear" w:color="auto" w:fill="FFFFFF"/>
        <w:spacing w:line="270" w:lineRule="atLeast"/>
        <w:rPr>
          <w:rFonts w:asciiTheme="minorHAnsi" w:hAnsiTheme="minorHAnsi" w:cs="Arial"/>
          <w:b/>
          <w:sz w:val="36"/>
          <w:szCs w:val="36"/>
        </w:rPr>
      </w:pPr>
      <w:r w:rsidRPr="00255976">
        <w:rPr>
          <w:rFonts w:asciiTheme="minorHAnsi" w:hAnsiTheme="minorHAnsi" w:cs="Arial"/>
          <w:b/>
          <w:sz w:val="36"/>
          <w:szCs w:val="36"/>
        </w:rPr>
        <w:t xml:space="preserve">EARLY </w:t>
      </w:r>
      <w:r>
        <w:rPr>
          <w:rFonts w:asciiTheme="minorHAnsi" w:hAnsiTheme="minorHAnsi" w:cs="Arial"/>
          <w:b/>
          <w:sz w:val="36"/>
          <w:szCs w:val="36"/>
        </w:rPr>
        <w:t xml:space="preserve">CHILDHOOD APPROACH </w:t>
      </w:r>
      <w:r w:rsidRPr="00255976">
        <w:rPr>
          <w:rFonts w:asciiTheme="minorHAnsi" w:hAnsiTheme="minorHAnsi" w:cs="Arial"/>
          <w:b/>
          <w:sz w:val="36"/>
          <w:szCs w:val="36"/>
        </w:rPr>
        <w:t>(</w:t>
      </w:r>
      <w:r>
        <w:rPr>
          <w:rFonts w:asciiTheme="minorHAnsi" w:hAnsiTheme="minorHAnsi" w:cs="Arial"/>
          <w:b/>
          <w:sz w:val="36"/>
          <w:szCs w:val="36"/>
        </w:rPr>
        <w:t>NDIS</w:t>
      </w:r>
      <w:r w:rsidRPr="00255976">
        <w:rPr>
          <w:rFonts w:asciiTheme="minorHAnsi" w:hAnsiTheme="minorHAnsi" w:cs="Arial"/>
          <w:b/>
          <w:sz w:val="36"/>
          <w:szCs w:val="36"/>
        </w:rPr>
        <w:t>)</w:t>
      </w:r>
    </w:p>
    <w:p w14:paraId="15A609B6" w14:textId="77777777" w:rsidR="002354BE" w:rsidRDefault="002354BE" w:rsidP="003613A0">
      <w:pPr>
        <w:shd w:val="clear" w:color="auto" w:fill="FFFFFF"/>
        <w:spacing w:line="270" w:lineRule="atLeast"/>
        <w:rPr>
          <w:rStyle w:val="cf01"/>
          <w:rFonts w:asciiTheme="minorHAnsi" w:hAnsiTheme="minorHAnsi" w:cstheme="minorHAnsi"/>
          <w:sz w:val="22"/>
          <w:szCs w:val="22"/>
        </w:rPr>
      </w:pPr>
    </w:p>
    <w:p w14:paraId="5890A48D" w14:textId="24788021" w:rsidR="003613A0" w:rsidRPr="00783EA9" w:rsidRDefault="00F749C0" w:rsidP="003613A0">
      <w:pPr>
        <w:shd w:val="clear" w:color="auto" w:fill="FFFFFF"/>
        <w:spacing w:line="270" w:lineRule="atLeast"/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>What will happen if an educator requests support for a child and they have commenced the pathway with Early Childhood Approach (Brotherhood of St Laurence/NDIS) Services?</w:t>
      </w:r>
      <w:r w:rsidR="003613A0" w:rsidRPr="00783EA9">
        <w:rPr>
          <w:rStyle w:val="cf01"/>
          <w:rFonts w:asciiTheme="minorHAnsi" w:hAnsiTheme="minorHAnsi" w:cstheme="minorHAnsi"/>
          <w:sz w:val="22"/>
          <w:szCs w:val="22"/>
        </w:rPr>
        <w:t>.</w:t>
      </w:r>
    </w:p>
    <w:p w14:paraId="40058C11" w14:textId="77777777" w:rsidR="003613A0" w:rsidRPr="00783EA9" w:rsidRDefault="003613A0" w:rsidP="003613A0">
      <w:pPr>
        <w:shd w:val="clear" w:color="auto" w:fill="FFFFFF"/>
        <w:spacing w:line="270" w:lineRule="atLeast"/>
        <w:rPr>
          <w:rFonts w:asciiTheme="minorHAnsi" w:hAnsiTheme="minorHAnsi" w:cstheme="minorHAnsi"/>
          <w:sz w:val="22"/>
          <w:szCs w:val="22"/>
        </w:rPr>
      </w:pPr>
    </w:p>
    <w:p w14:paraId="2FDB2FA9" w14:textId="77777777" w:rsidR="003613A0" w:rsidRDefault="003613A0" w:rsidP="003613A0">
      <w:pPr>
        <w:shd w:val="clear" w:color="auto" w:fill="FFFFFF"/>
        <w:spacing w:line="270" w:lineRule="atLeast"/>
        <w:rPr>
          <w:rFonts w:asciiTheme="minorHAnsi" w:hAnsiTheme="minorHAnsi" w:cs="Arial"/>
          <w:sz w:val="22"/>
          <w:szCs w:val="22"/>
        </w:rPr>
      </w:pPr>
      <w:r w:rsidRPr="005003D5">
        <w:rPr>
          <w:rFonts w:asciiTheme="minorHAnsi" w:hAnsiTheme="minorHAnsi" w:cs="Arial"/>
          <w:sz w:val="22"/>
          <w:szCs w:val="22"/>
        </w:rPr>
        <w:t>EC</w:t>
      </w:r>
      <w:r>
        <w:rPr>
          <w:rFonts w:asciiTheme="minorHAnsi" w:hAnsiTheme="minorHAnsi" w:cs="Arial"/>
          <w:sz w:val="22"/>
          <w:szCs w:val="22"/>
        </w:rPr>
        <w:t>A</w:t>
      </w:r>
      <w:r w:rsidRPr="005003D5">
        <w:rPr>
          <w:rFonts w:asciiTheme="minorHAnsi" w:hAnsiTheme="minorHAnsi" w:cs="Arial"/>
          <w:sz w:val="22"/>
          <w:szCs w:val="22"/>
        </w:rPr>
        <w:t xml:space="preserve"> services support children 0-</w:t>
      </w:r>
      <w:r>
        <w:rPr>
          <w:rFonts w:asciiTheme="minorHAnsi" w:hAnsiTheme="minorHAnsi" w:cs="Arial"/>
          <w:sz w:val="22"/>
          <w:szCs w:val="22"/>
        </w:rPr>
        <w:t>9</w:t>
      </w:r>
      <w:r w:rsidRPr="005003D5">
        <w:rPr>
          <w:rFonts w:asciiTheme="minorHAnsi" w:hAnsiTheme="minorHAnsi" w:cs="Arial"/>
          <w:sz w:val="22"/>
          <w:szCs w:val="22"/>
        </w:rPr>
        <w:t xml:space="preserve"> years with </w:t>
      </w:r>
      <w:r w:rsidRPr="00673E3C">
        <w:rPr>
          <w:rFonts w:asciiTheme="minorHAnsi" w:hAnsiTheme="minorHAnsi" w:cs="Arial"/>
          <w:b/>
          <w:bCs/>
          <w:sz w:val="22"/>
          <w:szCs w:val="22"/>
        </w:rPr>
        <w:t>either</w:t>
      </w:r>
      <w:r>
        <w:rPr>
          <w:rFonts w:asciiTheme="minorHAnsi" w:hAnsiTheme="minorHAnsi" w:cs="Arial"/>
          <w:sz w:val="22"/>
          <w:szCs w:val="22"/>
        </w:rPr>
        <w:t xml:space="preserve"> a </w:t>
      </w:r>
      <w:r w:rsidRPr="005003D5">
        <w:rPr>
          <w:rFonts w:asciiTheme="minorHAnsi" w:hAnsiTheme="minorHAnsi" w:cs="Arial"/>
          <w:sz w:val="22"/>
          <w:szCs w:val="22"/>
        </w:rPr>
        <w:t xml:space="preserve">developmental delay </w:t>
      </w:r>
      <w:r w:rsidRPr="00673E3C">
        <w:rPr>
          <w:rFonts w:asciiTheme="minorHAnsi" w:hAnsiTheme="minorHAnsi" w:cs="Arial"/>
          <w:b/>
          <w:bCs/>
          <w:sz w:val="22"/>
          <w:szCs w:val="22"/>
        </w:rPr>
        <w:t>or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5003D5">
        <w:rPr>
          <w:rFonts w:asciiTheme="minorHAnsi" w:hAnsiTheme="minorHAnsi" w:cs="Arial"/>
          <w:sz w:val="22"/>
          <w:szCs w:val="22"/>
        </w:rPr>
        <w:t>a severe disability in Western Melbourne.</w:t>
      </w:r>
      <w:r>
        <w:rPr>
          <w:rFonts w:asciiTheme="minorHAnsi" w:hAnsiTheme="minorHAnsi" w:cs="Arial"/>
          <w:sz w:val="22"/>
          <w:szCs w:val="22"/>
        </w:rPr>
        <w:t xml:space="preserve"> More information about this service can be found at: </w:t>
      </w:r>
    </w:p>
    <w:p w14:paraId="06C024D0" w14:textId="77777777" w:rsidR="003613A0" w:rsidRDefault="003613A0" w:rsidP="003613A0">
      <w:pPr>
        <w:shd w:val="clear" w:color="auto" w:fill="FFFFFF"/>
        <w:spacing w:line="270" w:lineRule="atLeast"/>
        <w:rPr>
          <w:rFonts w:asciiTheme="minorHAnsi" w:hAnsiTheme="minorHAnsi" w:cs="Arial"/>
          <w:sz w:val="22"/>
          <w:szCs w:val="22"/>
        </w:rPr>
      </w:pPr>
      <w:hyperlink r:id="rId5" w:history="1">
        <w:r w:rsidRPr="00C91DEA">
          <w:rPr>
            <w:rStyle w:val="Hyperlink"/>
            <w:rFonts w:asciiTheme="minorHAnsi" w:hAnsiTheme="minorHAnsi" w:cs="Arial"/>
            <w:sz w:val="22"/>
            <w:szCs w:val="22"/>
          </w:rPr>
          <w:t>https://ourguidelines.ndis.gov.au/early-childhood/early-childhood-approach</w:t>
        </w:r>
      </w:hyperlink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1450FECE" w14:textId="77777777" w:rsidR="003613A0" w:rsidRDefault="003613A0" w:rsidP="003613A0">
      <w:pPr>
        <w:shd w:val="clear" w:color="auto" w:fill="FFFFFF"/>
        <w:spacing w:line="270" w:lineRule="atLeast"/>
        <w:rPr>
          <w:rFonts w:asciiTheme="minorHAnsi" w:hAnsiTheme="minorHAnsi" w:cs="Arial"/>
          <w:sz w:val="22"/>
          <w:szCs w:val="22"/>
        </w:rPr>
      </w:pPr>
    </w:p>
    <w:p w14:paraId="024BE401" w14:textId="77777777" w:rsidR="003613A0" w:rsidRPr="009E3226" w:rsidRDefault="003613A0" w:rsidP="003613A0">
      <w:pPr>
        <w:shd w:val="clear" w:color="auto" w:fill="FFFFFF"/>
        <w:rPr>
          <w:rFonts w:asciiTheme="minorHAnsi" w:hAnsiTheme="minorHAnsi" w:cstheme="minorHAnsi"/>
          <w:sz w:val="22"/>
          <w:szCs w:val="22"/>
          <w:lang w:val="en" w:eastAsia="en-AU"/>
        </w:rPr>
      </w:pPr>
      <w:r>
        <w:rPr>
          <w:rFonts w:asciiTheme="minorHAnsi" w:hAnsiTheme="minorHAnsi" w:cs="Arial"/>
          <w:b/>
          <w:sz w:val="22"/>
          <w:szCs w:val="22"/>
        </w:rPr>
        <w:t>A</w:t>
      </w:r>
      <w:r w:rsidRPr="00AA7A14">
        <w:rPr>
          <w:rFonts w:asciiTheme="minorHAnsi" w:hAnsiTheme="minorHAnsi" w:cs="Arial"/>
          <w:b/>
          <w:sz w:val="22"/>
          <w:szCs w:val="22"/>
        </w:rPr>
        <w:t xml:space="preserve"> diagnosis</w:t>
      </w:r>
      <w:r>
        <w:rPr>
          <w:rFonts w:asciiTheme="minorHAnsi" w:hAnsiTheme="minorHAnsi" w:cs="Arial"/>
          <w:b/>
          <w:sz w:val="22"/>
          <w:szCs w:val="22"/>
        </w:rPr>
        <w:t xml:space="preserve"> is not required in order to</w:t>
      </w:r>
      <w:r w:rsidRPr="00AA7A14">
        <w:rPr>
          <w:rFonts w:asciiTheme="minorHAnsi" w:hAnsiTheme="minorHAnsi" w:cs="Arial"/>
          <w:b/>
          <w:sz w:val="22"/>
          <w:szCs w:val="22"/>
        </w:rPr>
        <w:t xml:space="preserve"> refer</w:t>
      </w:r>
      <w:r>
        <w:rPr>
          <w:rFonts w:asciiTheme="minorHAnsi" w:hAnsiTheme="minorHAnsi" w:cs="Arial"/>
          <w:b/>
          <w:sz w:val="22"/>
          <w:szCs w:val="22"/>
        </w:rPr>
        <w:t xml:space="preserve"> to the ECA, one or more areas of significant delay in a child’s development is all that is required (this can be in any developmental area). </w:t>
      </w:r>
    </w:p>
    <w:p w14:paraId="3476B28F" w14:textId="77777777" w:rsidR="003613A0" w:rsidRDefault="003613A0" w:rsidP="003613A0">
      <w:pPr>
        <w:spacing w:after="120"/>
        <w:rPr>
          <w:rFonts w:asciiTheme="minorHAnsi" w:hAnsiTheme="minorHAnsi" w:cs="Arial"/>
          <w:b/>
          <w:sz w:val="22"/>
          <w:szCs w:val="22"/>
        </w:rPr>
      </w:pPr>
    </w:p>
    <w:p w14:paraId="48ACFAA2" w14:textId="77777777" w:rsidR="003613A0" w:rsidRDefault="003613A0" w:rsidP="003613A0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HOW DOES IT WORK?</w:t>
      </w:r>
    </w:p>
    <w:p w14:paraId="2F17EBCC" w14:textId="77777777" w:rsidR="003613A0" w:rsidRDefault="003613A0" w:rsidP="003613A0">
      <w:pPr>
        <w:rPr>
          <w:rFonts w:asciiTheme="minorHAnsi" w:hAnsiTheme="minorHAnsi" w:cs="Arial"/>
          <w:b/>
          <w:sz w:val="22"/>
          <w:szCs w:val="22"/>
        </w:rPr>
      </w:pPr>
    </w:p>
    <w:p w14:paraId="43BDCDDF" w14:textId="77777777" w:rsidR="003613A0" w:rsidRDefault="003613A0" w:rsidP="003613A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 xml:space="preserve">Educators, families and others </w:t>
      </w:r>
      <w:r w:rsidRPr="000605D6">
        <w:rPr>
          <w:rFonts w:asciiTheme="minorHAnsi" w:hAnsiTheme="minorHAnsi" w:cstheme="minorHAnsi"/>
          <w:sz w:val="22"/>
          <w:szCs w:val="22"/>
          <w:lang w:val="en"/>
        </w:rPr>
        <w:t xml:space="preserve">can contact </w:t>
      </w:r>
      <w:r>
        <w:rPr>
          <w:rFonts w:asciiTheme="minorHAnsi" w:hAnsiTheme="minorHAnsi" w:cstheme="minorHAnsi"/>
          <w:sz w:val="22"/>
          <w:szCs w:val="22"/>
          <w:lang w:val="en"/>
        </w:rPr>
        <w:t>the Brotherhood of St Laurence (BSL)</w:t>
      </w:r>
      <w:r w:rsidRPr="000605D6">
        <w:rPr>
          <w:rFonts w:asciiTheme="minorHAnsi" w:hAnsiTheme="minorHAnsi" w:cstheme="minorHAnsi"/>
          <w:sz w:val="22"/>
          <w:szCs w:val="22"/>
          <w:lang w:val="en"/>
        </w:rPr>
        <w:t xml:space="preserve"> if </w:t>
      </w:r>
      <w:r>
        <w:rPr>
          <w:rFonts w:asciiTheme="minorHAnsi" w:hAnsiTheme="minorHAnsi" w:cstheme="minorHAnsi"/>
          <w:sz w:val="22"/>
          <w:szCs w:val="22"/>
          <w:lang w:val="en"/>
        </w:rPr>
        <w:t xml:space="preserve">there are </w:t>
      </w:r>
      <w:r w:rsidRPr="000605D6">
        <w:rPr>
          <w:rFonts w:asciiTheme="minorHAnsi" w:hAnsiTheme="minorHAnsi" w:cstheme="minorHAnsi"/>
          <w:sz w:val="22"/>
          <w:szCs w:val="22"/>
          <w:lang w:val="en"/>
        </w:rPr>
        <w:t xml:space="preserve">concerns about </w:t>
      </w:r>
      <w:r>
        <w:rPr>
          <w:rFonts w:asciiTheme="minorHAnsi" w:hAnsiTheme="minorHAnsi" w:cstheme="minorHAnsi"/>
          <w:sz w:val="22"/>
          <w:szCs w:val="22"/>
          <w:lang w:val="en"/>
        </w:rPr>
        <w:t>a</w:t>
      </w:r>
      <w:r w:rsidRPr="000605D6">
        <w:rPr>
          <w:rFonts w:asciiTheme="minorHAnsi" w:hAnsiTheme="minorHAnsi" w:cstheme="minorHAnsi"/>
          <w:sz w:val="22"/>
          <w:szCs w:val="22"/>
          <w:lang w:val="en"/>
        </w:rPr>
        <w:t xml:space="preserve"> child’s develo</w:t>
      </w:r>
      <w:r>
        <w:rPr>
          <w:rFonts w:asciiTheme="minorHAnsi" w:hAnsiTheme="minorHAnsi" w:cstheme="minorHAnsi"/>
          <w:sz w:val="22"/>
          <w:szCs w:val="22"/>
          <w:lang w:val="en"/>
        </w:rPr>
        <w:t xml:space="preserve">pment.  BSL can help you to get information and access to supports. </w:t>
      </w:r>
    </w:p>
    <w:p w14:paraId="638FB8E7" w14:textId="77777777" w:rsidR="003613A0" w:rsidRDefault="003613A0" w:rsidP="003613A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"/>
        </w:rPr>
      </w:pPr>
    </w:p>
    <w:p w14:paraId="1BB56E68" w14:textId="77777777" w:rsidR="003613A0" w:rsidRDefault="003613A0" w:rsidP="003613A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 xml:space="preserve">Families are provided with ideas on ways to help their child with their everyday living, learning and development. </w:t>
      </w:r>
    </w:p>
    <w:p w14:paraId="1A594242" w14:textId="77777777" w:rsidR="003613A0" w:rsidRPr="000605D6" w:rsidRDefault="003613A0" w:rsidP="003613A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"/>
        </w:rPr>
      </w:pPr>
    </w:p>
    <w:p w14:paraId="6D4F9379" w14:textId="77777777" w:rsidR="003613A0" w:rsidRDefault="003613A0" w:rsidP="003613A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"/>
        </w:rPr>
      </w:pPr>
      <w:r w:rsidRPr="000605D6">
        <w:rPr>
          <w:rFonts w:asciiTheme="minorHAnsi" w:hAnsiTheme="minorHAnsi" w:cstheme="minorHAnsi"/>
          <w:sz w:val="22"/>
          <w:szCs w:val="22"/>
          <w:lang w:val="en"/>
        </w:rPr>
        <w:t xml:space="preserve">As every child is different, </w:t>
      </w:r>
      <w:r>
        <w:rPr>
          <w:rFonts w:asciiTheme="minorHAnsi" w:hAnsiTheme="minorHAnsi" w:cstheme="minorHAnsi"/>
          <w:sz w:val="22"/>
          <w:szCs w:val="22"/>
          <w:lang w:val="en"/>
        </w:rPr>
        <w:t>the Brotherhood of St Laurence</w:t>
      </w:r>
      <w:r w:rsidRPr="000605D6">
        <w:rPr>
          <w:rFonts w:asciiTheme="minorHAnsi" w:hAnsiTheme="minorHAnsi" w:cstheme="minorHAnsi"/>
          <w:sz w:val="22"/>
          <w:szCs w:val="22"/>
          <w:lang w:val="en"/>
        </w:rPr>
        <w:t xml:space="preserve"> will tailor support to your child’s individual needs and circumstan</w:t>
      </w:r>
      <w:r>
        <w:rPr>
          <w:rFonts w:asciiTheme="minorHAnsi" w:hAnsiTheme="minorHAnsi" w:cstheme="minorHAnsi"/>
          <w:sz w:val="22"/>
          <w:szCs w:val="22"/>
          <w:lang w:val="en"/>
        </w:rPr>
        <w:t>ces</w:t>
      </w:r>
      <w:r w:rsidRPr="000605D6">
        <w:rPr>
          <w:rFonts w:asciiTheme="minorHAnsi" w:hAnsiTheme="minorHAnsi" w:cstheme="minorHAnsi"/>
          <w:sz w:val="22"/>
          <w:szCs w:val="22"/>
          <w:lang w:val="en"/>
        </w:rPr>
        <w:t>.</w:t>
      </w:r>
    </w:p>
    <w:p w14:paraId="20D97D53" w14:textId="77777777" w:rsidR="003613A0" w:rsidRPr="000605D6" w:rsidRDefault="003613A0" w:rsidP="003613A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"/>
        </w:rPr>
      </w:pPr>
    </w:p>
    <w:p w14:paraId="52A99013" w14:textId="77777777" w:rsidR="003613A0" w:rsidRDefault="003613A0" w:rsidP="003613A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The ECA team will</w:t>
      </w:r>
      <w:r w:rsidRPr="000605D6">
        <w:rPr>
          <w:rFonts w:asciiTheme="minorHAnsi" w:hAnsiTheme="minorHAnsi" w:cstheme="minorHAnsi"/>
          <w:sz w:val="22"/>
          <w:szCs w:val="22"/>
          <w:lang w:val="en"/>
        </w:rPr>
        <w:t>:</w:t>
      </w:r>
    </w:p>
    <w:p w14:paraId="4E090836" w14:textId="77777777" w:rsidR="003613A0" w:rsidRPr="00B074DD" w:rsidRDefault="003613A0" w:rsidP="003613A0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  <w:lang w:val="en"/>
        </w:rPr>
      </w:pPr>
      <w:r w:rsidRPr="00B074DD">
        <w:rPr>
          <w:rFonts w:asciiTheme="minorHAnsi" w:hAnsiTheme="minorHAnsi" w:cstheme="minorHAnsi"/>
          <w:sz w:val="22"/>
          <w:szCs w:val="22"/>
          <w:lang w:val="en"/>
        </w:rPr>
        <w:t xml:space="preserve">suggest which supports can best help </w:t>
      </w:r>
      <w:r>
        <w:rPr>
          <w:rFonts w:asciiTheme="minorHAnsi" w:hAnsiTheme="minorHAnsi" w:cstheme="minorHAnsi"/>
          <w:sz w:val="22"/>
          <w:szCs w:val="22"/>
          <w:lang w:val="en"/>
        </w:rPr>
        <w:t>the</w:t>
      </w:r>
      <w:r w:rsidRPr="00B074DD">
        <w:rPr>
          <w:rFonts w:asciiTheme="minorHAnsi" w:hAnsiTheme="minorHAnsi" w:cstheme="minorHAnsi"/>
          <w:sz w:val="22"/>
          <w:szCs w:val="22"/>
          <w:lang w:val="en"/>
        </w:rPr>
        <w:t xml:space="preserve"> child and family. This could mean support from a general practitioner (GP), community health service or the National Disability Insurance Scheme (NDIS)</w:t>
      </w:r>
    </w:p>
    <w:p w14:paraId="4B8CDB41" w14:textId="77777777" w:rsidR="003613A0" w:rsidRDefault="003613A0" w:rsidP="003613A0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  <w:lang w:val="en"/>
        </w:rPr>
      </w:pPr>
      <w:r w:rsidRPr="00B074DD">
        <w:rPr>
          <w:rFonts w:asciiTheme="minorHAnsi" w:hAnsiTheme="minorHAnsi" w:cstheme="minorHAnsi"/>
          <w:sz w:val="22"/>
          <w:szCs w:val="22"/>
          <w:lang w:val="en"/>
        </w:rPr>
        <w:t xml:space="preserve">work with </w:t>
      </w:r>
      <w:r>
        <w:rPr>
          <w:rFonts w:asciiTheme="minorHAnsi" w:hAnsiTheme="minorHAnsi" w:cstheme="minorHAnsi"/>
          <w:sz w:val="22"/>
          <w:szCs w:val="22"/>
          <w:lang w:val="en"/>
        </w:rPr>
        <w:t>the family</w:t>
      </w:r>
      <w:r w:rsidRPr="00B074DD">
        <w:rPr>
          <w:rFonts w:asciiTheme="minorHAnsi" w:hAnsiTheme="minorHAnsi" w:cstheme="minorHAnsi"/>
          <w:sz w:val="22"/>
          <w:szCs w:val="22"/>
          <w:lang w:val="en"/>
        </w:rPr>
        <w:t xml:space="preserve"> to find ways to support </w:t>
      </w:r>
      <w:r>
        <w:rPr>
          <w:rFonts w:asciiTheme="minorHAnsi" w:hAnsiTheme="minorHAnsi" w:cstheme="minorHAnsi"/>
          <w:sz w:val="22"/>
          <w:szCs w:val="22"/>
          <w:lang w:val="en"/>
        </w:rPr>
        <w:t>the</w:t>
      </w:r>
      <w:r w:rsidRPr="00B074DD">
        <w:rPr>
          <w:rFonts w:asciiTheme="minorHAnsi" w:hAnsiTheme="minorHAnsi" w:cstheme="minorHAnsi"/>
          <w:sz w:val="22"/>
          <w:szCs w:val="22"/>
          <w:lang w:val="en"/>
        </w:rPr>
        <w:t xml:space="preserve"> child’s development and learning at home</w:t>
      </w:r>
    </w:p>
    <w:p w14:paraId="75C42C12" w14:textId="77777777" w:rsidR="003613A0" w:rsidRPr="00F51EE0" w:rsidRDefault="003613A0" w:rsidP="003613A0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  <w:lang w:val="en"/>
        </w:rPr>
      </w:pPr>
      <w:r w:rsidRPr="00F51EE0">
        <w:rPr>
          <w:rFonts w:asciiTheme="minorHAnsi" w:hAnsiTheme="minorHAnsi" w:cstheme="minorHAnsi"/>
          <w:sz w:val="22"/>
          <w:szCs w:val="22"/>
          <w:lang w:val="en"/>
        </w:rPr>
        <w:t>help the family apply for the NDIS if needed</w:t>
      </w:r>
    </w:p>
    <w:p w14:paraId="01DB981E" w14:textId="77777777" w:rsidR="003613A0" w:rsidRDefault="003613A0" w:rsidP="003613A0">
      <w:pPr>
        <w:rPr>
          <w:rFonts w:asciiTheme="minorHAnsi" w:hAnsiTheme="minorHAnsi" w:cstheme="minorHAnsi"/>
          <w:sz w:val="22"/>
          <w:szCs w:val="22"/>
          <w:lang w:val="en"/>
        </w:rPr>
      </w:pPr>
    </w:p>
    <w:p w14:paraId="606767D3" w14:textId="77777777" w:rsidR="003613A0" w:rsidRDefault="003613A0" w:rsidP="003613A0">
      <w:pPr>
        <w:rPr>
          <w:rFonts w:asciiTheme="minorHAnsi" w:hAnsiTheme="minorHAnsi" w:cs="Arial"/>
          <w:b/>
          <w:sz w:val="22"/>
          <w:szCs w:val="22"/>
        </w:rPr>
      </w:pPr>
      <w:r w:rsidRPr="00752558">
        <w:rPr>
          <w:rFonts w:asciiTheme="minorHAnsi" w:hAnsiTheme="minorHAnsi" w:cs="Arial"/>
          <w:b/>
          <w:sz w:val="22"/>
          <w:szCs w:val="22"/>
        </w:rPr>
        <w:t xml:space="preserve">WHAT </w:t>
      </w:r>
      <w:r>
        <w:rPr>
          <w:rFonts w:asciiTheme="minorHAnsi" w:hAnsiTheme="minorHAnsi" w:cs="Arial"/>
          <w:b/>
          <w:sz w:val="22"/>
          <w:szCs w:val="22"/>
        </w:rPr>
        <w:t>IS</w:t>
      </w:r>
      <w:r w:rsidRPr="00752558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 xml:space="preserve">THE </w:t>
      </w:r>
      <w:r w:rsidRPr="00752558">
        <w:rPr>
          <w:rFonts w:asciiTheme="minorHAnsi" w:hAnsiTheme="minorHAnsi" w:cs="Arial"/>
          <w:b/>
          <w:sz w:val="22"/>
          <w:szCs w:val="22"/>
        </w:rPr>
        <w:t>EARLY CHILDHOOD</w:t>
      </w:r>
      <w:r>
        <w:rPr>
          <w:rFonts w:asciiTheme="minorHAnsi" w:hAnsiTheme="minorHAnsi" w:cs="Arial"/>
          <w:b/>
          <w:sz w:val="22"/>
          <w:szCs w:val="22"/>
        </w:rPr>
        <w:t xml:space="preserve"> APPROACH (NDIS)</w:t>
      </w:r>
      <w:r w:rsidRPr="00752558">
        <w:rPr>
          <w:rFonts w:asciiTheme="minorHAnsi" w:hAnsiTheme="minorHAnsi" w:cs="Arial"/>
          <w:b/>
          <w:sz w:val="22"/>
          <w:szCs w:val="22"/>
        </w:rPr>
        <w:t>?</w:t>
      </w:r>
    </w:p>
    <w:p w14:paraId="7A06FAF1" w14:textId="77777777" w:rsidR="003613A0" w:rsidRDefault="003613A0" w:rsidP="003613A0">
      <w:pPr>
        <w:rPr>
          <w:rFonts w:asciiTheme="minorHAnsi" w:hAnsiTheme="minorHAnsi" w:cs="Arial"/>
          <w:b/>
          <w:sz w:val="22"/>
          <w:szCs w:val="22"/>
        </w:rPr>
      </w:pPr>
    </w:p>
    <w:p w14:paraId="78D5F8F7" w14:textId="77777777" w:rsidR="003613A0" w:rsidRDefault="003613A0" w:rsidP="003613A0">
      <w:pPr>
        <w:shd w:val="clear" w:color="auto" w:fill="FFFFFF"/>
        <w:rPr>
          <w:rFonts w:asciiTheme="minorHAnsi" w:hAnsiTheme="minorHAnsi" w:cstheme="minorHAnsi"/>
          <w:sz w:val="22"/>
          <w:szCs w:val="22"/>
          <w:lang w:val="en" w:eastAsia="en-AU"/>
        </w:rPr>
      </w:pPr>
      <w:r>
        <w:rPr>
          <w:rFonts w:asciiTheme="minorHAnsi" w:hAnsiTheme="minorHAnsi" w:cstheme="minorHAnsi"/>
          <w:sz w:val="22"/>
          <w:szCs w:val="22"/>
          <w:lang w:val="en" w:eastAsia="en-AU"/>
        </w:rPr>
        <w:t xml:space="preserve">The </w:t>
      </w:r>
      <w:r w:rsidRPr="00561C73">
        <w:rPr>
          <w:rFonts w:asciiTheme="minorHAnsi" w:hAnsiTheme="minorHAnsi" w:cstheme="minorHAnsi"/>
          <w:sz w:val="22"/>
          <w:szCs w:val="22"/>
          <w:lang w:val="en" w:eastAsia="en-AU"/>
        </w:rPr>
        <w:t>EC</w:t>
      </w:r>
      <w:r>
        <w:rPr>
          <w:rFonts w:asciiTheme="minorHAnsi" w:hAnsiTheme="minorHAnsi" w:cstheme="minorHAnsi"/>
          <w:sz w:val="22"/>
          <w:szCs w:val="22"/>
          <w:lang w:val="en" w:eastAsia="en-AU"/>
        </w:rPr>
        <w:t>A</w:t>
      </w:r>
      <w:r w:rsidRPr="00561C73">
        <w:rPr>
          <w:rFonts w:asciiTheme="minorHAnsi" w:hAnsiTheme="minorHAnsi" w:cstheme="minorHAnsi"/>
          <w:sz w:val="22"/>
          <w:szCs w:val="22"/>
          <w:lang w:val="en" w:eastAsia="en-AU"/>
        </w:rPr>
        <w:t xml:space="preserve"> is designed to promote learning, development, wellbeing and participation in the community. This is done in partnership with the family, and any key people in the child’s life e.g. their Teacher/Educator. </w:t>
      </w:r>
    </w:p>
    <w:p w14:paraId="43BD2107" w14:textId="77777777" w:rsidR="003613A0" w:rsidRDefault="003613A0" w:rsidP="003613A0">
      <w:pPr>
        <w:shd w:val="clear" w:color="auto" w:fill="FFFFFF"/>
        <w:rPr>
          <w:rFonts w:asciiTheme="minorHAnsi" w:hAnsiTheme="minorHAnsi" w:cstheme="minorHAnsi"/>
          <w:sz w:val="22"/>
          <w:szCs w:val="22"/>
          <w:lang w:val="en" w:eastAsia="en-AU"/>
        </w:rPr>
      </w:pPr>
    </w:p>
    <w:p w14:paraId="49A8E8C7" w14:textId="77777777" w:rsidR="003613A0" w:rsidRPr="00561C73" w:rsidRDefault="003613A0" w:rsidP="003613A0">
      <w:pPr>
        <w:shd w:val="clear" w:color="auto" w:fill="FFFFFF"/>
        <w:rPr>
          <w:rFonts w:asciiTheme="minorHAnsi" w:hAnsiTheme="minorHAnsi" w:cstheme="minorHAnsi"/>
          <w:sz w:val="22"/>
          <w:szCs w:val="22"/>
          <w:lang w:val="en" w:eastAsia="en-AU"/>
        </w:rPr>
      </w:pPr>
      <w:r w:rsidRPr="00561C73">
        <w:rPr>
          <w:rFonts w:asciiTheme="minorHAnsi" w:hAnsiTheme="minorHAnsi" w:cstheme="minorHAnsi"/>
          <w:sz w:val="22"/>
          <w:szCs w:val="22"/>
          <w:lang w:val="en" w:eastAsia="en-AU"/>
        </w:rPr>
        <w:t>This is a FREE service.</w:t>
      </w:r>
    </w:p>
    <w:p w14:paraId="6FF6EEF6" w14:textId="77777777" w:rsidR="003613A0" w:rsidRPr="005003D5" w:rsidRDefault="003613A0" w:rsidP="003613A0">
      <w:pPr>
        <w:rPr>
          <w:rFonts w:asciiTheme="minorHAnsi" w:hAnsiTheme="minorHAnsi" w:cs="Arial"/>
          <w:sz w:val="22"/>
          <w:szCs w:val="22"/>
        </w:rPr>
      </w:pPr>
    </w:p>
    <w:p w14:paraId="6F3A36F2" w14:textId="77777777" w:rsidR="003613A0" w:rsidRPr="009E3226" w:rsidRDefault="003613A0" w:rsidP="003613A0">
      <w:pPr>
        <w:shd w:val="clear" w:color="auto" w:fill="FFFFFF"/>
        <w:rPr>
          <w:rFonts w:asciiTheme="minorHAnsi" w:hAnsiTheme="minorHAnsi" w:cstheme="minorHAnsi"/>
          <w:sz w:val="22"/>
          <w:szCs w:val="22"/>
          <w:lang w:val="en" w:eastAsia="en-AU"/>
        </w:rPr>
      </w:pPr>
      <w:r>
        <w:rPr>
          <w:rFonts w:asciiTheme="minorHAnsi" w:hAnsiTheme="minorHAnsi" w:cstheme="minorHAnsi"/>
          <w:sz w:val="22"/>
          <w:szCs w:val="22"/>
          <w:lang w:val="en" w:eastAsia="en-AU"/>
        </w:rPr>
        <w:t>The ECA</w:t>
      </w:r>
      <w:r w:rsidRPr="009E3226">
        <w:rPr>
          <w:rFonts w:asciiTheme="minorHAnsi" w:hAnsiTheme="minorHAnsi" w:cstheme="minorHAnsi"/>
          <w:sz w:val="22"/>
          <w:szCs w:val="22"/>
          <w:lang w:val="en" w:eastAsia="en-AU"/>
        </w:rPr>
        <w:t xml:space="preserve"> support aims to:</w:t>
      </w:r>
    </w:p>
    <w:p w14:paraId="275ACB31" w14:textId="77777777" w:rsidR="003613A0" w:rsidRPr="009E3226" w:rsidRDefault="003613A0" w:rsidP="003613A0">
      <w:pPr>
        <w:pStyle w:val="ListParagraph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sz w:val="22"/>
          <w:szCs w:val="22"/>
          <w:lang w:val="en"/>
        </w:rPr>
      </w:pPr>
      <w:r w:rsidRPr="009E3226">
        <w:rPr>
          <w:rFonts w:asciiTheme="minorHAnsi" w:hAnsiTheme="minorHAnsi" w:cstheme="minorHAnsi"/>
          <w:sz w:val="22"/>
          <w:szCs w:val="22"/>
          <w:lang w:val="en"/>
        </w:rPr>
        <w:t>promote the child’s learning, development and ability to participate in family, early childhood education and care settings and broader community life</w:t>
      </w:r>
    </w:p>
    <w:p w14:paraId="6131D238" w14:textId="77777777" w:rsidR="003613A0" w:rsidRPr="009E3226" w:rsidRDefault="003613A0" w:rsidP="003613A0">
      <w:pPr>
        <w:pStyle w:val="ListParagraph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sz w:val="22"/>
          <w:szCs w:val="22"/>
          <w:lang w:val="en"/>
        </w:rPr>
      </w:pPr>
      <w:r w:rsidRPr="009E3226">
        <w:rPr>
          <w:rFonts w:asciiTheme="minorHAnsi" w:hAnsiTheme="minorHAnsi" w:cstheme="minorHAnsi"/>
          <w:sz w:val="22"/>
          <w:szCs w:val="22"/>
          <w:lang w:val="en"/>
        </w:rPr>
        <w:t>Assist parents and families to have the knowledge, skills and support to respond to the needs of their child</w:t>
      </w:r>
    </w:p>
    <w:p w14:paraId="4F5A89C1" w14:textId="77777777" w:rsidR="003613A0" w:rsidRDefault="003613A0" w:rsidP="003613A0">
      <w:pPr>
        <w:shd w:val="clear" w:color="auto" w:fill="FFFFFF"/>
        <w:rPr>
          <w:rFonts w:asciiTheme="minorHAnsi" w:hAnsiTheme="minorHAnsi" w:cstheme="minorHAnsi"/>
          <w:sz w:val="22"/>
          <w:szCs w:val="22"/>
          <w:lang w:val="en"/>
        </w:rPr>
      </w:pPr>
    </w:p>
    <w:p w14:paraId="5F63A207" w14:textId="23FD633C" w:rsidR="003613A0" w:rsidRDefault="003613A0" w:rsidP="003613A0">
      <w:pPr>
        <w:shd w:val="clear" w:color="auto" w:fill="FFFFFF"/>
        <w:rPr>
          <w:rFonts w:asciiTheme="minorHAnsi" w:hAnsiTheme="minorHAnsi" w:cstheme="minorHAnsi"/>
          <w:sz w:val="22"/>
          <w:szCs w:val="22"/>
          <w:lang w:val="en"/>
        </w:rPr>
      </w:pPr>
      <w:r w:rsidRPr="009E3226">
        <w:rPr>
          <w:rFonts w:asciiTheme="minorHAnsi" w:hAnsiTheme="minorHAnsi" w:cstheme="minorHAnsi"/>
          <w:sz w:val="22"/>
          <w:szCs w:val="22"/>
          <w:lang w:val="en"/>
        </w:rPr>
        <w:t>EC</w:t>
      </w:r>
      <w:r>
        <w:rPr>
          <w:rFonts w:asciiTheme="minorHAnsi" w:hAnsiTheme="minorHAnsi" w:cstheme="minorHAnsi"/>
          <w:sz w:val="22"/>
          <w:szCs w:val="22"/>
          <w:lang w:val="en"/>
        </w:rPr>
        <w:t>A</w:t>
      </w:r>
      <w:r w:rsidRPr="009E3226">
        <w:rPr>
          <w:rFonts w:asciiTheme="minorHAnsi" w:hAnsiTheme="minorHAnsi" w:cstheme="minorHAnsi"/>
          <w:sz w:val="22"/>
          <w:szCs w:val="22"/>
          <w:lang w:val="en"/>
        </w:rPr>
        <w:t xml:space="preserve"> support can be delivered by a range of professionals with specialist qualifications who apply their knowledge and expertise to support children to learn and develop. The professionals supporting a child may include:</w:t>
      </w:r>
    </w:p>
    <w:p w14:paraId="0C4BDC7C" w14:textId="77777777" w:rsidR="003613A0" w:rsidRPr="009E3226" w:rsidRDefault="003613A0" w:rsidP="003613A0">
      <w:pPr>
        <w:shd w:val="clear" w:color="auto" w:fill="FFFFFF"/>
        <w:rPr>
          <w:rFonts w:asciiTheme="minorHAnsi" w:hAnsiTheme="minorHAnsi" w:cstheme="minorHAnsi"/>
          <w:sz w:val="22"/>
          <w:szCs w:val="22"/>
          <w:lang w:val="en"/>
        </w:rPr>
      </w:pPr>
    </w:p>
    <w:p w14:paraId="555630C6" w14:textId="77777777" w:rsidR="003613A0" w:rsidRPr="009E3226" w:rsidRDefault="003613A0" w:rsidP="003613A0">
      <w:pPr>
        <w:shd w:val="clear" w:color="auto" w:fill="FFFFFF"/>
        <w:rPr>
          <w:rFonts w:asciiTheme="minorHAnsi" w:hAnsiTheme="minorHAnsi" w:cstheme="minorHAnsi"/>
          <w:sz w:val="22"/>
          <w:szCs w:val="22"/>
          <w:lang w:val="en"/>
        </w:rPr>
      </w:pPr>
      <w:r w:rsidRPr="009E3226">
        <w:rPr>
          <w:rFonts w:asciiTheme="minorHAnsi" w:hAnsiTheme="minorHAnsi" w:cstheme="minorHAnsi"/>
          <w:b/>
          <w:bCs/>
          <w:sz w:val="22"/>
          <w:szCs w:val="22"/>
          <w:lang w:val="en"/>
        </w:rPr>
        <w:t>Occupational therapist</w:t>
      </w:r>
      <w:r w:rsidRPr="009E3226">
        <w:rPr>
          <w:rFonts w:asciiTheme="minorHAnsi" w:hAnsiTheme="minorHAnsi" w:cstheme="minorHAnsi"/>
          <w:sz w:val="22"/>
          <w:szCs w:val="22"/>
          <w:lang w:val="en"/>
        </w:rPr>
        <w:t xml:space="preserve">– Their specialist knowledge can contribute to supporting the development of a child’s independence in everyday activities including eating, dressing, </w:t>
      </w:r>
      <w:r w:rsidRPr="00711343">
        <w:rPr>
          <w:rFonts w:asciiTheme="minorHAnsi" w:hAnsiTheme="minorHAnsi" w:cstheme="minorHAnsi"/>
          <w:sz w:val="22"/>
          <w:szCs w:val="22"/>
        </w:rPr>
        <w:t>toileting</w:t>
      </w:r>
      <w:r w:rsidRPr="009E3226">
        <w:rPr>
          <w:rFonts w:asciiTheme="minorHAnsi" w:hAnsiTheme="minorHAnsi" w:cstheme="minorHAnsi"/>
          <w:sz w:val="22"/>
          <w:szCs w:val="22"/>
          <w:lang w:val="en"/>
        </w:rPr>
        <w:t xml:space="preserve"> and a range of activities that are part of family life.</w:t>
      </w:r>
    </w:p>
    <w:p w14:paraId="669A10D1" w14:textId="77777777" w:rsidR="003613A0" w:rsidRPr="009E3226" w:rsidRDefault="003613A0" w:rsidP="003613A0">
      <w:pPr>
        <w:shd w:val="clear" w:color="auto" w:fill="FFFFFF"/>
        <w:rPr>
          <w:rFonts w:asciiTheme="minorHAnsi" w:hAnsiTheme="minorHAnsi" w:cstheme="minorHAnsi"/>
          <w:sz w:val="22"/>
          <w:szCs w:val="22"/>
          <w:lang w:val="en"/>
        </w:rPr>
      </w:pPr>
      <w:r w:rsidRPr="009E3226">
        <w:rPr>
          <w:rFonts w:asciiTheme="minorHAnsi" w:hAnsiTheme="minorHAnsi" w:cstheme="minorHAnsi"/>
          <w:b/>
          <w:bCs/>
          <w:sz w:val="22"/>
          <w:szCs w:val="22"/>
          <w:lang w:val="en"/>
        </w:rPr>
        <w:lastRenderedPageBreak/>
        <w:t>Physiotherapist-</w:t>
      </w:r>
      <w:r w:rsidRPr="009E3226">
        <w:rPr>
          <w:rFonts w:asciiTheme="minorHAnsi" w:hAnsiTheme="minorHAnsi" w:cstheme="minorHAnsi"/>
          <w:sz w:val="22"/>
          <w:szCs w:val="22"/>
          <w:lang w:val="en"/>
        </w:rPr>
        <w:t> </w:t>
      </w:r>
      <w:r>
        <w:rPr>
          <w:rFonts w:asciiTheme="minorHAnsi" w:hAnsiTheme="minorHAnsi" w:cstheme="minorHAnsi"/>
          <w:sz w:val="22"/>
          <w:szCs w:val="22"/>
          <w:lang w:val="en"/>
        </w:rPr>
        <w:t>C</w:t>
      </w:r>
      <w:r w:rsidRPr="009E3226">
        <w:rPr>
          <w:rFonts w:asciiTheme="minorHAnsi" w:hAnsiTheme="minorHAnsi" w:cstheme="minorHAnsi"/>
          <w:sz w:val="22"/>
          <w:szCs w:val="22"/>
          <w:lang w:val="en"/>
        </w:rPr>
        <w:t>ontribute</w:t>
      </w:r>
      <w:r>
        <w:rPr>
          <w:rFonts w:asciiTheme="minorHAnsi" w:hAnsiTheme="minorHAnsi" w:cstheme="minorHAnsi"/>
          <w:sz w:val="22"/>
          <w:szCs w:val="22"/>
          <w:lang w:val="en"/>
        </w:rPr>
        <w:t>s</w:t>
      </w:r>
      <w:r w:rsidRPr="009E3226">
        <w:rPr>
          <w:rFonts w:asciiTheme="minorHAnsi" w:hAnsiTheme="minorHAnsi" w:cstheme="minorHAnsi"/>
          <w:sz w:val="22"/>
          <w:szCs w:val="22"/>
          <w:lang w:val="en"/>
        </w:rPr>
        <w:t xml:space="preserve"> to supporting a child’s development in the areas of movement, posture and balance.</w:t>
      </w:r>
    </w:p>
    <w:p w14:paraId="3F84098D" w14:textId="77777777" w:rsidR="003613A0" w:rsidRPr="009E3226" w:rsidRDefault="003613A0" w:rsidP="003613A0">
      <w:pPr>
        <w:shd w:val="clear" w:color="auto" w:fill="FFFFFF"/>
        <w:rPr>
          <w:rFonts w:asciiTheme="minorHAnsi" w:hAnsiTheme="minorHAnsi" w:cstheme="minorHAnsi"/>
          <w:sz w:val="22"/>
          <w:szCs w:val="22"/>
          <w:lang w:val="en"/>
        </w:rPr>
      </w:pPr>
      <w:r w:rsidRPr="009E3226">
        <w:rPr>
          <w:rFonts w:asciiTheme="minorHAnsi" w:hAnsiTheme="minorHAnsi" w:cstheme="minorHAnsi"/>
          <w:b/>
          <w:bCs/>
          <w:sz w:val="22"/>
          <w:szCs w:val="22"/>
          <w:lang w:val="en"/>
        </w:rPr>
        <w:t>Speech pathologist</w:t>
      </w:r>
      <w:r>
        <w:rPr>
          <w:rFonts w:asciiTheme="minorHAnsi" w:hAnsiTheme="minorHAnsi" w:cstheme="minorHAnsi"/>
          <w:b/>
          <w:bCs/>
          <w:sz w:val="22"/>
          <w:szCs w:val="22"/>
          <w:lang w:val="en"/>
        </w:rPr>
        <w:t xml:space="preserve"> </w:t>
      </w:r>
      <w:r w:rsidRPr="009E3226">
        <w:rPr>
          <w:rFonts w:asciiTheme="minorHAnsi" w:hAnsiTheme="minorHAnsi" w:cstheme="minorHAnsi"/>
          <w:sz w:val="22"/>
          <w:szCs w:val="22"/>
          <w:lang w:val="en"/>
        </w:rPr>
        <w:t>– </w:t>
      </w:r>
      <w:r>
        <w:rPr>
          <w:rFonts w:asciiTheme="minorHAnsi" w:hAnsiTheme="minorHAnsi" w:cstheme="minorHAnsi"/>
          <w:sz w:val="22"/>
          <w:szCs w:val="22"/>
          <w:lang w:val="en"/>
        </w:rPr>
        <w:t>W</w:t>
      </w:r>
      <w:r w:rsidRPr="009E3226">
        <w:rPr>
          <w:rFonts w:asciiTheme="minorHAnsi" w:hAnsiTheme="minorHAnsi" w:cstheme="minorHAnsi"/>
          <w:sz w:val="22"/>
          <w:szCs w:val="22"/>
          <w:lang w:val="en"/>
        </w:rPr>
        <w:t>ill work in supporting a child who has difficulties talking, understanding speech, stuttering, eating and drinking, swallowing or drooling.</w:t>
      </w:r>
    </w:p>
    <w:p w14:paraId="476F4814" w14:textId="77777777" w:rsidR="003613A0" w:rsidRPr="009E3226" w:rsidRDefault="003613A0" w:rsidP="003613A0">
      <w:pPr>
        <w:shd w:val="clear" w:color="auto" w:fill="FFFFFF"/>
        <w:rPr>
          <w:rFonts w:asciiTheme="minorHAnsi" w:hAnsiTheme="minorHAnsi" w:cstheme="minorHAnsi"/>
          <w:sz w:val="22"/>
          <w:szCs w:val="22"/>
          <w:lang w:val="en"/>
        </w:rPr>
      </w:pPr>
      <w:r w:rsidRPr="009E3226">
        <w:rPr>
          <w:rFonts w:asciiTheme="minorHAnsi" w:hAnsiTheme="minorHAnsi" w:cstheme="minorHAnsi"/>
          <w:b/>
          <w:bCs/>
          <w:sz w:val="22"/>
          <w:szCs w:val="22"/>
          <w:lang w:val="en"/>
        </w:rPr>
        <w:t>Psychologist</w:t>
      </w:r>
      <w:r w:rsidRPr="009E3226">
        <w:rPr>
          <w:rFonts w:asciiTheme="minorHAnsi" w:hAnsiTheme="minorHAnsi" w:cstheme="minorHAnsi"/>
          <w:sz w:val="22"/>
          <w:szCs w:val="22"/>
          <w:lang w:val="en"/>
        </w:rPr>
        <w:t>– </w:t>
      </w:r>
      <w:r>
        <w:rPr>
          <w:rFonts w:asciiTheme="minorHAnsi" w:hAnsiTheme="minorHAnsi" w:cstheme="minorHAnsi"/>
          <w:sz w:val="22"/>
          <w:szCs w:val="22"/>
          <w:lang w:val="en"/>
        </w:rPr>
        <w:t>C</w:t>
      </w:r>
      <w:r w:rsidRPr="009E3226">
        <w:rPr>
          <w:rFonts w:asciiTheme="minorHAnsi" w:hAnsiTheme="minorHAnsi" w:cstheme="minorHAnsi"/>
          <w:sz w:val="22"/>
          <w:szCs w:val="22"/>
          <w:lang w:val="en"/>
        </w:rPr>
        <w:t xml:space="preserve">an assist families to support a child’s social, emotional and overall development. They can provide advice and assistance to families including offering </w:t>
      </w:r>
      <w:proofErr w:type="spellStart"/>
      <w:r w:rsidRPr="009E3226">
        <w:rPr>
          <w:rFonts w:asciiTheme="minorHAnsi" w:hAnsiTheme="minorHAnsi" w:cstheme="minorHAnsi"/>
          <w:sz w:val="22"/>
          <w:szCs w:val="22"/>
          <w:lang w:val="en"/>
        </w:rPr>
        <w:t>behaviour</w:t>
      </w:r>
      <w:proofErr w:type="spellEnd"/>
      <w:r w:rsidRPr="009E3226">
        <w:rPr>
          <w:rFonts w:asciiTheme="minorHAnsi" w:hAnsiTheme="minorHAnsi" w:cstheme="minorHAnsi"/>
          <w:sz w:val="22"/>
          <w:szCs w:val="22"/>
          <w:lang w:val="en"/>
        </w:rPr>
        <w:t xml:space="preserve"> management guidance.</w:t>
      </w:r>
    </w:p>
    <w:p w14:paraId="132D09A6" w14:textId="77777777" w:rsidR="003613A0" w:rsidRDefault="003613A0" w:rsidP="003613A0">
      <w:pPr>
        <w:shd w:val="clear" w:color="auto" w:fill="FFFFFF"/>
        <w:rPr>
          <w:rFonts w:asciiTheme="minorHAnsi" w:hAnsiTheme="minorHAnsi" w:cstheme="minorHAnsi"/>
          <w:sz w:val="22"/>
          <w:szCs w:val="22"/>
          <w:lang w:val="en"/>
        </w:rPr>
      </w:pPr>
      <w:r w:rsidRPr="009E3226">
        <w:rPr>
          <w:rFonts w:asciiTheme="minorHAnsi" w:hAnsiTheme="minorHAnsi" w:cstheme="minorHAnsi"/>
          <w:b/>
          <w:bCs/>
          <w:sz w:val="22"/>
          <w:szCs w:val="22"/>
          <w:lang w:val="en"/>
        </w:rPr>
        <w:t>Specialist Early Childhood Educators</w:t>
      </w:r>
      <w:r w:rsidRPr="009E3226">
        <w:rPr>
          <w:rFonts w:asciiTheme="minorHAnsi" w:hAnsiTheme="minorHAnsi" w:cstheme="minorHAnsi"/>
          <w:sz w:val="22"/>
          <w:szCs w:val="22"/>
          <w:lang w:val="en"/>
        </w:rPr>
        <w:t xml:space="preserve">– </w:t>
      </w:r>
      <w:r>
        <w:rPr>
          <w:rFonts w:asciiTheme="minorHAnsi" w:hAnsiTheme="minorHAnsi" w:cstheme="minorHAnsi"/>
          <w:sz w:val="22"/>
          <w:szCs w:val="22"/>
          <w:lang w:val="en"/>
        </w:rPr>
        <w:t>Educators</w:t>
      </w:r>
      <w:r w:rsidRPr="009E3226">
        <w:rPr>
          <w:rFonts w:asciiTheme="minorHAnsi" w:hAnsiTheme="minorHAnsi" w:cstheme="minorHAnsi"/>
          <w:sz w:val="22"/>
          <w:szCs w:val="22"/>
          <w:lang w:val="en"/>
        </w:rPr>
        <w:t xml:space="preserve"> who are trained in early years education </w:t>
      </w:r>
      <w:r>
        <w:rPr>
          <w:rFonts w:asciiTheme="minorHAnsi" w:hAnsiTheme="minorHAnsi" w:cstheme="minorHAnsi"/>
          <w:sz w:val="22"/>
          <w:szCs w:val="22"/>
          <w:lang w:val="en"/>
        </w:rPr>
        <w:t xml:space="preserve">and often special education. Educators </w:t>
      </w:r>
      <w:r w:rsidRPr="009E3226">
        <w:rPr>
          <w:rFonts w:asciiTheme="minorHAnsi" w:hAnsiTheme="minorHAnsi" w:cstheme="minorHAnsi"/>
          <w:sz w:val="22"/>
          <w:szCs w:val="22"/>
          <w:lang w:val="en"/>
        </w:rPr>
        <w:t>are often part of ECEI teams and assist families to understand their child’s needs and to provide opportunities and experiences that support their learning and development.</w:t>
      </w:r>
    </w:p>
    <w:p w14:paraId="41D7EBBD" w14:textId="77777777" w:rsidR="003613A0" w:rsidRPr="00300B8E" w:rsidRDefault="003613A0" w:rsidP="003613A0">
      <w:pPr>
        <w:shd w:val="clear" w:color="auto" w:fill="FFFFFF"/>
        <w:rPr>
          <w:rFonts w:asciiTheme="minorHAnsi" w:hAnsiTheme="minorHAnsi" w:cstheme="minorHAnsi"/>
          <w:sz w:val="22"/>
          <w:szCs w:val="22"/>
          <w:lang w:val="en"/>
        </w:rPr>
      </w:pPr>
    </w:p>
    <w:p w14:paraId="137B819D" w14:textId="77777777" w:rsidR="003613A0" w:rsidRDefault="003613A0" w:rsidP="003613A0">
      <w:pPr>
        <w:rPr>
          <w:rFonts w:asciiTheme="minorHAnsi" w:hAnsiTheme="minorHAnsi" w:cs="Arial"/>
          <w:b/>
          <w:sz w:val="22"/>
          <w:szCs w:val="22"/>
        </w:rPr>
      </w:pPr>
      <w:r w:rsidRPr="00752558">
        <w:rPr>
          <w:rFonts w:asciiTheme="minorHAnsi" w:hAnsiTheme="minorHAnsi" w:cs="Arial"/>
          <w:b/>
          <w:sz w:val="22"/>
          <w:szCs w:val="22"/>
        </w:rPr>
        <w:t>WHO PROVIDES EARLY CHILDHOOD</w:t>
      </w:r>
      <w:r>
        <w:rPr>
          <w:rFonts w:asciiTheme="minorHAnsi" w:hAnsiTheme="minorHAnsi" w:cs="Arial"/>
          <w:b/>
          <w:sz w:val="22"/>
          <w:szCs w:val="22"/>
        </w:rPr>
        <w:t xml:space="preserve"> APPROACH</w:t>
      </w:r>
      <w:r w:rsidRPr="00752558">
        <w:rPr>
          <w:rFonts w:asciiTheme="minorHAnsi" w:hAnsiTheme="minorHAnsi" w:cs="Arial"/>
          <w:b/>
          <w:sz w:val="22"/>
          <w:szCs w:val="22"/>
        </w:rPr>
        <w:t xml:space="preserve"> SERVICES IN THE WESTERN REGION?</w:t>
      </w:r>
    </w:p>
    <w:p w14:paraId="0428103F" w14:textId="77777777" w:rsidR="003613A0" w:rsidRDefault="003613A0" w:rsidP="003613A0">
      <w:pPr>
        <w:rPr>
          <w:rFonts w:asciiTheme="minorHAnsi" w:hAnsiTheme="minorHAnsi" w:cs="Arial"/>
          <w:b/>
          <w:sz w:val="22"/>
          <w:szCs w:val="22"/>
        </w:rPr>
      </w:pPr>
    </w:p>
    <w:p w14:paraId="1003FACF" w14:textId="77777777" w:rsidR="003613A0" w:rsidRDefault="003613A0" w:rsidP="003613A0">
      <w:pPr>
        <w:rPr>
          <w:rFonts w:asciiTheme="minorHAnsi" w:hAnsiTheme="minorHAnsi" w:cstheme="minorHAnsi"/>
          <w:sz w:val="22"/>
          <w:szCs w:val="22"/>
          <w:lang w:val="en"/>
        </w:rPr>
      </w:pPr>
      <w:r w:rsidRPr="009E3226">
        <w:rPr>
          <w:rFonts w:asciiTheme="minorHAnsi" w:hAnsiTheme="minorHAnsi" w:cstheme="minorHAnsi"/>
          <w:sz w:val="22"/>
          <w:szCs w:val="22"/>
          <w:lang w:val="en"/>
        </w:rPr>
        <w:t>The NDIS has engaged Early Childhood Partners around Australia to deliver the EC</w:t>
      </w:r>
      <w:r>
        <w:rPr>
          <w:rFonts w:asciiTheme="minorHAnsi" w:hAnsiTheme="minorHAnsi" w:cstheme="minorHAnsi"/>
          <w:sz w:val="22"/>
          <w:szCs w:val="22"/>
          <w:lang w:val="en"/>
        </w:rPr>
        <w:t>A</w:t>
      </w:r>
      <w:r w:rsidRPr="009E3226">
        <w:rPr>
          <w:rFonts w:asciiTheme="minorHAnsi" w:hAnsiTheme="minorHAnsi" w:cstheme="minorHAnsi"/>
          <w:sz w:val="22"/>
          <w:szCs w:val="22"/>
          <w:lang w:val="en"/>
        </w:rPr>
        <w:t xml:space="preserve"> approach. Early Childhood Partners are experienced in providing early childhood intervention.</w:t>
      </w:r>
      <w:r>
        <w:rPr>
          <w:rFonts w:asciiTheme="minorHAnsi" w:hAnsiTheme="minorHAnsi" w:cstheme="minorHAnsi"/>
          <w:sz w:val="22"/>
          <w:szCs w:val="22"/>
          <w:lang w:val="en"/>
        </w:rPr>
        <w:t xml:space="preserve"> The Brotherhood of St Laurence is the Early Childhood Partner for Wyndham and their contact details are:</w:t>
      </w:r>
    </w:p>
    <w:p w14:paraId="03B99A57" w14:textId="77777777" w:rsidR="003613A0" w:rsidRDefault="003613A0" w:rsidP="003613A0">
      <w:pPr>
        <w:rPr>
          <w:rFonts w:asciiTheme="minorHAnsi" w:hAnsiTheme="minorHAnsi" w:cstheme="minorHAnsi"/>
          <w:sz w:val="22"/>
          <w:szCs w:val="22"/>
          <w:lang w:val="en"/>
        </w:rPr>
      </w:pPr>
    </w:p>
    <w:p w14:paraId="0262A57F" w14:textId="77777777" w:rsidR="003613A0" w:rsidRPr="007B0249" w:rsidRDefault="003613A0" w:rsidP="003613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B0249">
        <w:rPr>
          <w:rFonts w:asciiTheme="minorHAnsi" w:hAnsiTheme="minorHAnsi" w:cstheme="minorHAnsi"/>
          <w:b/>
          <w:bCs/>
          <w:sz w:val="22"/>
          <w:szCs w:val="22"/>
        </w:rPr>
        <w:t>The Brotherhood of St Laurence</w:t>
      </w:r>
    </w:p>
    <w:p w14:paraId="1D739ADB" w14:textId="77777777" w:rsidR="003613A0" w:rsidRPr="007B0249" w:rsidRDefault="003613A0" w:rsidP="003613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B0249">
        <w:rPr>
          <w:rFonts w:asciiTheme="minorHAnsi" w:hAnsiTheme="minorHAnsi" w:cstheme="minorHAnsi"/>
          <w:b/>
          <w:bCs/>
          <w:sz w:val="22"/>
          <w:szCs w:val="22"/>
        </w:rPr>
        <w:t>Level 1, 236 Hoppers Lane, Werribee</w:t>
      </w:r>
    </w:p>
    <w:p w14:paraId="7708935B" w14:textId="77777777" w:rsidR="003613A0" w:rsidRDefault="003613A0" w:rsidP="003613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B0249">
        <w:rPr>
          <w:rFonts w:asciiTheme="minorHAnsi" w:hAnsiTheme="minorHAnsi" w:cstheme="minorHAnsi"/>
          <w:b/>
          <w:bCs/>
          <w:sz w:val="22"/>
          <w:szCs w:val="22"/>
        </w:rPr>
        <w:t>Tel – 1300 275 323</w:t>
      </w:r>
    </w:p>
    <w:p w14:paraId="1F0A0C10" w14:textId="77777777" w:rsidR="003613A0" w:rsidRPr="00B074DD" w:rsidRDefault="003613A0" w:rsidP="003613A0">
      <w:pPr>
        <w:rPr>
          <w:rFonts w:asciiTheme="minorHAnsi" w:hAnsiTheme="minorHAnsi" w:cstheme="minorHAnsi"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Email – </w:t>
      </w:r>
      <w:hyperlink r:id="rId6" w:history="1">
        <w:r w:rsidRPr="004A0420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ecei.access@bsl.org.au</w:t>
        </w:r>
      </w:hyperlink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F7D7AFB" w14:textId="77777777" w:rsidR="003613A0" w:rsidRDefault="003613A0" w:rsidP="003613A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"/>
        </w:rPr>
      </w:pPr>
    </w:p>
    <w:p w14:paraId="6BE3DFB9" w14:textId="77777777" w:rsidR="003613A0" w:rsidRDefault="003613A0" w:rsidP="003613A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The referral form can be completed online or on paper. This can be found at:</w:t>
      </w:r>
    </w:p>
    <w:p w14:paraId="200AB5AB" w14:textId="77777777" w:rsidR="003613A0" w:rsidRDefault="003613A0" w:rsidP="003613A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"/>
        </w:rPr>
      </w:pPr>
      <w:hyperlink r:id="rId7" w:history="1">
        <w:r w:rsidRPr="009874F2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https://ndis.bsl.org.au/wp-content/uploads/2024/09/EC-referral-form_Sep24.pdf</w:t>
        </w:r>
      </w:hyperlink>
      <w:r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</w:p>
    <w:p w14:paraId="55E82588" w14:textId="77777777" w:rsidR="003613A0" w:rsidRDefault="003613A0" w:rsidP="003613A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"/>
        </w:rPr>
      </w:pPr>
    </w:p>
    <w:p w14:paraId="45F4A607" w14:textId="77777777" w:rsidR="003613A0" w:rsidRDefault="003613A0" w:rsidP="003613A0">
      <w:pPr>
        <w:shd w:val="clear" w:color="auto" w:fill="FFFFFF"/>
        <w:rPr>
          <w:rFonts w:asciiTheme="minorHAnsi" w:hAnsiTheme="minorHAnsi" w:cstheme="minorHAnsi"/>
          <w:sz w:val="22"/>
          <w:szCs w:val="22"/>
          <w:lang w:val="en"/>
        </w:rPr>
      </w:pPr>
    </w:p>
    <w:p w14:paraId="15ABBD95" w14:textId="77777777" w:rsidR="003613A0" w:rsidRPr="00752558" w:rsidRDefault="003613A0" w:rsidP="003613A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752558">
        <w:rPr>
          <w:rFonts w:asciiTheme="minorHAnsi" w:hAnsiTheme="minorHAnsi" w:cs="Arial"/>
          <w:b/>
          <w:sz w:val="22"/>
          <w:szCs w:val="22"/>
        </w:rPr>
        <w:t xml:space="preserve">WHO CAN REFER TO </w:t>
      </w:r>
      <w:r>
        <w:rPr>
          <w:rFonts w:asciiTheme="minorHAnsi" w:hAnsiTheme="minorHAnsi" w:cs="Arial"/>
          <w:b/>
          <w:sz w:val="22"/>
          <w:szCs w:val="22"/>
        </w:rPr>
        <w:t>ECA</w:t>
      </w:r>
      <w:r w:rsidRPr="00752558">
        <w:rPr>
          <w:rFonts w:asciiTheme="minorHAnsi" w:hAnsiTheme="minorHAnsi" w:cs="Arial"/>
          <w:b/>
          <w:sz w:val="22"/>
          <w:szCs w:val="22"/>
        </w:rPr>
        <w:t>?</w:t>
      </w:r>
    </w:p>
    <w:p w14:paraId="7894AEF4" w14:textId="77777777" w:rsidR="003613A0" w:rsidRPr="00C65D38" w:rsidRDefault="003613A0" w:rsidP="003613A0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Early Childhood</w:t>
      </w:r>
      <w:r w:rsidRPr="00951B92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Educators</w:t>
      </w:r>
      <w:r w:rsidRPr="00951B92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(with parent permission)</w:t>
      </w:r>
    </w:p>
    <w:p w14:paraId="7B08BED3" w14:textId="77777777" w:rsidR="003613A0" w:rsidRDefault="003613A0" w:rsidP="003613A0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D0365A">
        <w:rPr>
          <w:rFonts w:asciiTheme="minorHAnsi" w:hAnsiTheme="minorHAnsi" w:cs="Arial"/>
          <w:sz w:val="22"/>
          <w:szCs w:val="22"/>
        </w:rPr>
        <w:t>P</w:t>
      </w:r>
      <w:r>
        <w:rPr>
          <w:rFonts w:asciiTheme="minorHAnsi" w:hAnsiTheme="minorHAnsi" w:cs="Arial"/>
          <w:sz w:val="22"/>
          <w:szCs w:val="22"/>
        </w:rPr>
        <w:t>arents</w:t>
      </w:r>
    </w:p>
    <w:p w14:paraId="198D8BFB" w14:textId="77777777" w:rsidR="003613A0" w:rsidRDefault="003613A0" w:rsidP="003613A0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</w:t>
      </w:r>
      <w:r w:rsidRPr="00D0365A">
        <w:rPr>
          <w:rFonts w:asciiTheme="minorHAnsi" w:hAnsiTheme="minorHAnsi" w:cs="Arial"/>
          <w:sz w:val="22"/>
          <w:szCs w:val="22"/>
        </w:rPr>
        <w:t xml:space="preserve">ther service professionals </w:t>
      </w:r>
      <w:r>
        <w:rPr>
          <w:rFonts w:asciiTheme="minorHAnsi" w:hAnsiTheme="minorHAnsi" w:cs="Arial"/>
          <w:sz w:val="22"/>
          <w:szCs w:val="22"/>
        </w:rPr>
        <w:t>(with parent permission), such as MCH Nurses, GP’s, PSFOs.</w:t>
      </w:r>
    </w:p>
    <w:p w14:paraId="663FE23D" w14:textId="77777777" w:rsidR="003613A0" w:rsidRPr="009E3226" w:rsidRDefault="003613A0" w:rsidP="003613A0">
      <w:pPr>
        <w:shd w:val="clear" w:color="auto" w:fill="FFFFFF"/>
        <w:spacing w:line="270" w:lineRule="atLeast"/>
        <w:textAlignment w:val="top"/>
        <w:rPr>
          <w:rFonts w:asciiTheme="minorHAnsi" w:hAnsiTheme="minorHAnsi" w:cs="Arial"/>
          <w:b/>
          <w:sz w:val="22"/>
          <w:szCs w:val="22"/>
          <w:lang w:eastAsia="en-AU"/>
        </w:rPr>
      </w:pPr>
    </w:p>
    <w:p w14:paraId="052E27DC" w14:textId="77777777" w:rsidR="00AF6A7E" w:rsidRDefault="00AF6A7E"/>
    <w:sectPr w:rsidR="00AF6A7E" w:rsidSect="002354BE">
      <w:pgSz w:w="11906" w:h="16838"/>
      <w:pgMar w:top="1135" w:right="127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A7C"/>
    <w:multiLevelType w:val="hybridMultilevel"/>
    <w:tmpl w:val="312CE3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78085D"/>
    <w:multiLevelType w:val="hybridMultilevel"/>
    <w:tmpl w:val="F00C912A"/>
    <w:lvl w:ilvl="0" w:tplc="7062C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447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6D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09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EC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AB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842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90B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6D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A475302"/>
    <w:multiLevelType w:val="hybridMultilevel"/>
    <w:tmpl w:val="8C7CF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140253">
    <w:abstractNumId w:val="1"/>
  </w:num>
  <w:num w:numId="2" w16cid:durableId="488250016">
    <w:abstractNumId w:val="2"/>
  </w:num>
  <w:num w:numId="3" w16cid:durableId="44388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A0"/>
    <w:rsid w:val="002354BE"/>
    <w:rsid w:val="003613A0"/>
    <w:rsid w:val="004372AF"/>
    <w:rsid w:val="00A46EB1"/>
    <w:rsid w:val="00AF6A7E"/>
    <w:rsid w:val="00C53209"/>
    <w:rsid w:val="00F7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E3EF4"/>
  <w15:chartTrackingRefBased/>
  <w15:docId w15:val="{9D54533C-CE6F-4961-AE57-ECB0DDAE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3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3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3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3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3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3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3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3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3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3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3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3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3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3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3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3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3A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613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13A0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613A0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customStyle="1" w:styleId="cf01">
    <w:name w:val="cf01"/>
    <w:basedOn w:val="DefaultParagraphFont"/>
    <w:rsid w:val="003613A0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613A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dis.bsl.org.au/wp-content/uploads/2024/09/EC-referral-form_Sep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ei.access@bsl.org.au" TargetMode="External"/><Relationship Id="rId5" Type="http://schemas.openxmlformats.org/officeDocument/2006/relationships/hyperlink" Target="https://ourguidelines.ndis.gov.au/early-childhood/early-childhood-approa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640</Words>
  <Characters>3651</Characters>
  <Application>Microsoft Office Word</Application>
  <DocSecurity>0</DocSecurity>
  <Lines>30</Lines>
  <Paragraphs>8</Paragraphs>
  <ScaleCrop>false</ScaleCrop>
  <Company>Wyndham City Council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Lakin</dc:creator>
  <cp:keywords/>
  <dc:description/>
  <cp:lastModifiedBy>Janet Lakin</cp:lastModifiedBy>
  <cp:revision>4</cp:revision>
  <dcterms:created xsi:type="dcterms:W3CDTF">2025-01-29T03:51:00Z</dcterms:created>
  <dcterms:modified xsi:type="dcterms:W3CDTF">2025-01-29T03:57:00Z</dcterms:modified>
</cp:coreProperties>
</file>